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6" w:rsidRPr="00113966" w:rsidRDefault="00113966" w:rsidP="00113966">
      <w:pPr>
        <w:pBdr>
          <w:bottom w:val="dotted" w:sz="6" w:space="8" w:color="000000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30"/>
          <w:szCs w:val="30"/>
          <w:lang w:eastAsia="ru-RU"/>
        </w:rPr>
      </w:pPr>
      <w:r w:rsidRPr="00113966">
        <w:rPr>
          <w:rFonts w:ascii="Times New Roman" w:eastAsia="Times New Roman" w:hAnsi="Times New Roman" w:cs="Times New Roman"/>
          <w:caps/>
          <w:color w:val="FF0000"/>
          <w:kern w:val="36"/>
          <w:sz w:val="30"/>
          <w:szCs w:val="30"/>
          <w:lang w:eastAsia="ru-RU"/>
        </w:rPr>
        <w:t>БОЛЕЗНИ И ВРЕДИТЕЛИ ПЧЁЛ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3B271CDA" wp14:editId="668A9E00">
            <wp:extent cx="333375" cy="190500"/>
            <wp:effectExtent l="0" t="0" r="9525" b="0"/>
            <wp:docPr id="1" name="Рисунок 1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6" w:tooltip="Аскосфероз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Аскосфероз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аскосферозе мицелий гриба покрывает всю личинку налётом из белых или серовато-белых гриф. При последующем развитии гриба личинки обизвествляются, высыхают в свободно лежащие в ячейках мумии от желтовато-белой (напоминают кусочки мела) до тёмно-серой или чёрной окраске....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41E52559" wp14:editId="0ED6A632">
            <wp:extent cx="333375" cy="190500"/>
            <wp:effectExtent l="0" t="0" r="9525" b="0"/>
            <wp:docPr id="2" name="Рисунок 2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7" w:tooltip="Варроатоз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Варроатоз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 варроа – небольшой, плоский клещ размером полтора миллиметра. Самка клеща коричневого цвета, а самец молочно-белого. Питается клещ варроа гемолимфой (кровью) взрослых пчёл, личинок и куколок....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1285BF0C" wp14:editId="2FFEF558">
            <wp:extent cx="333375" cy="190500"/>
            <wp:effectExtent l="0" t="0" r="9525" b="0"/>
            <wp:docPr id="3" name="Рисунок 3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8" w:tooltip="Нозематоз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Нозематоз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нозематоза одноклеточное простейшее Нозема апис (Nosema apis), паразитирующее в среднем отделе кишечника пчёл, маток, трутней. Споры ноземы попав в кишечник пчелы, внедряется в слизистую оболочку задней части средней кишки, где быстро развиваются. Самое большое распространение этой болезни в семье происходит в конце зимы, когда у пчёл кишечник полон не переваренными веществами....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14623BDE" wp14:editId="179F658E">
            <wp:extent cx="333375" cy="190500"/>
            <wp:effectExtent l="0" t="0" r="9525" b="0"/>
            <wp:docPr id="4" name="Рисунок 4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9" w:tooltip="Американский гнилец 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Американский гнилец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гнилец – трудноискоренимое инфекционное заболевание печатного пчелиного расплода. Возбудитель – стойкая спорообразующая граммоположительная палочка бацилла ларве (Bac.larvae). Возбудитель впервые описан американским учёным Г.Ф. Уайтом в Америке, отсюда и название – американский....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0EF8AAF8" wp14:editId="74C3B512">
            <wp:extent cx="333375" cy="190500"/>
            <wp:effectExtent l="0" t="0" r="9525" b="0"/>
            <wp:docPr id="5" name="Рисунок 5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10" w:tooltip="Восковая моль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Восковая моль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Самки восковой моли проникают в гнездо пчёл и откладывают там яйца. Далее из яиц появляются гусеницы, которые питаются воском. Продвигаясь по сотам, гусеницы проделывают в них проходы, которые обтягивают паутиной. Разрушая соты гусеницы, нарушают развитие личинок и куколок пчёл, в результате семья слабеет....</w:t>
      </w:r>
    </w:p>
    <w:p w:rsidR="00113966" w:rsidRPr="00113966" w:rsidRDefault="00113966" w:rsidP="00113966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13966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02903385" wp14:editId="71152FAF">
            <wp:extent cx="333375" cy="190500"/>
            <wp:effectExtent l="0" t="0" r="9525" b="0"/>
            <wp:docPr id="6" name="Рисунок 6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Times New Roman" w:eastAsia="Times New Roman" w:hAnsi="Times New Roman" w:cs="Times New Roman"/>
          <w:sz w:val="31"/>
          <w:szCs w:val="31"/>
          <w:lang w:eastAsia="ru-RU"/>
        </w:rPr>
        <w:t>  </w:t>
      </w:r>
      <w:hyperlink r:id="rId11" w:tooltip="Европейский гнилец" w:history="1">
        <w:r w:rsidRPr="00113966">
          <w:rPr>
            <w:rFonts w:ascii="Times New Roman" w:eastAsia="Times New Roman" w:hAnsi="Times New Roman" w:cs="Times New Roman"/>
            <w:color w:val="0000FF"/>
            <w:sz w:val="31"/>
            <w:szCs w:val="31"/>
            <w:lang w:eastAsia="ru-RU"/>
          </w:rPr>
          <w:t>Европейский гнилец</w:t>
        </w:r>
      </w:hyperlink>
    </w:p>
    <w:p w:rsidR="00113966" w:rsidRPr="00113966" w:rsidRDefault="00113966" w:rsidP="0011396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6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гнилец (гнилец открытого расплода) это инфекционная карантинная болезнь открытого пчелиного расплода, иногда печатного, вызываемая одним или несколькими видами бактерий. Среди возбудителей европейского гнильца – коки и бациллы....</w:t>
      </w:r>
    </w:p>
    <w:p w:rsidR="00113966" w:rsidRPr="00113966" w:rsidRDefault="00113966" w:rsidP="00113966">
      <w:pPr>
        <w:shd w:val="clear" w:color="auto" w:fill="E1E1E1"/>
        <w:spacing w:after="0" w:line="240" w:lineRule="auto"/>
        <w:rPr>
          <w:rFonts w:ascii="Georgia" w:eastAsia="Times New Roman" w:hAnsi="Georgia" w:cs="Times New Roman"/>
          <w:color w:val="1C1C1C"/>
          <w:sz w:val="31"/>
          <w:szCs w:val="31"/>
          <w:lang w:eastAsia="ru-RU"/>
        </w:rPr>
      </w:pPr>
      <w:r w:rsidRPr="00113966">
        <w:rPr>
          <w:rFonts w:ascii="Georgia" w:eastAsia="Times New Roman" w:hAnsi="Georgia" w:cs="Times New Roman"/>
          <w:noProof/>
          <w:color w:val="1C1C1C"/>
          <w:sz w:val="31"/>
          <w:szCs w:val="31"/>
          <w:lang w:eastAsia="ru-RU"/>
        </w:rPr>
        <w:drawing>
          <wp:inline distT="0" distB="0" distL="0" distR="0" wp14:anchorId="69A8CA63" wp14:editId="0B6915B4">
            <wp:extent cx="333375" cy="190500"/>
            <wp:effectExtent l="0" t="0" r="9525" b="0"/>
            <wp:docPr id="7" name="Рисунок 7" descr="http://xn--90afc1ambof.xn--p1ai/includes/images/description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90afc1ambof.xn--p1ai/includes/images/description-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66">
        <w:rPr>
          <w:rFonts w:ascii="Georgia" w:eastAsia="Times New Roman" w:hAnsi="Georgia" w:cs="Times New Roman"/>
          <w:color w:val="1C1C1C"/>
          <w:sz w:val="31"/>
          <w:szCs w:val="31"/>
          <w:lang w:eastAsia="ru-RU"/>
        </w:rPr>
        <w:t>  </w:t>
      </w:r>
      <w:hyperlink r:id="rId12" w:tooltip="Парагнилец" w:history="1">
        <w:r w:rsidRPr="00113966">
          <w:rPr>
            <w:rFonts w:ascii="Georgia" w:eastAsia="Times New Roman" w:hAnsi="Georgia" w:cs="Times New Roman"/>
            <w:color w:val="0000FF"/>
            <w:sz w:val="31"/>
            <w:szCs w:val="31"/>
            <w:lang w:eastAsia="ru-RU"/>
          </w:rPr>
          <w:t>Парагнилец</w:t>
        </w:r>
      </w:hyperlink>
    </w:p>
    <w:p w:rsidR="00113966" w:rsidRPr="00113966" w:rsidRDefault="00113966" w:rsidP="00113966">
      <w:pPr>
        <w:shd w:val="clear" w:color="auto" w:fill="E1E1E1"/>
        <w:spacing w:after="75" w:line="240" w:lineRule="auto"/>
        <w:rPr>
          <w:rFonts w:ascii="Georgia" w:eastAsia="Times New Roman" w:hAnsi="Georgia" w:cs="Times New Roman"/>
          <w:color w:val="1C1C1C"/>
          <w:sz w:val="20"/>
          <w:szCs w:val="20"/>
          <w:lang w:eastAsia="ru-RU"/>
        </w:rPr>
      </w:pPr>
      <w:r w:rsidRPr="00113966">
        <w:rPr>
          <w:rFonts w:ascii="Georgia" w:eastAsia="Times New Roman" w:hAnsi="Georgia" w:cs="Times New Roman"/>
          <w:color w:val="1C1C1C"/>
          <w:sz w:val="20"/>
          <w:szCs w:val="20"/>
          <w:lang w:eastAsia="ru-RU"/>
        </w:rPr>
        <w:t>Парагнилец – инфекционное заболевание пчелиных семей, является разновидностью американского и европейского гнильцов. Известен парагнилец с 1933 года. Возбудитель – спорообразующая бацилла параальвей (Bac.paraalvei). Название возбудителю было дано по сходству с бациллой альвей...</w:t>
      </w:r>
    </w:p>
    <w:p w:rsidR="00EA0F31" w:rsidRDefault="00EA0F31">
      <w:bookmarkStart w:id="0" w:name="_GoBack"/>
      <w:bookmarkEnd w:id="0"/>
    </w:p>
    <w:sectPr w:rsidR="00EA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6"/>
    <w:rsid w:val="00113966"/>
    <w:rsid w:val="00E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fc1ambof.xn--p1ai/articles/article/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90afc1ambof.xn--p1ai/articles/article/8/" TargetMode="External"/><Relationship Id="rId12" Type="http://schemas.openxmlformats.org/officeDocument/2006/relationships/hyperlink" Target="http://xn--90afc1ambof.xn--p1ai/articles/article/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fc1ambof.xn--p1ai/articles/article/7/" TargetMode="External"/><Relationship Id="rId11" Type="http://schemas.openxmlformats.org/officeDocument/2006/relationships/hyperlink" Target="http://xn--90afc1ambof.xn--p1ai/articles/article/37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xn--90afc1ambof.xn--p1ai/articles/articl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fc1ambof.xn--p1ai/articles/article/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Krokoz™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waldos</dc:creator>
  <cp:lastModifiedBy>waldos</cp:lastModifiedBy>
  <cp:revision>2</cp:revision>
  <dcterms:created xsi:type="dcterms:W3CDTF">2012-06-28T18:10:00Z</dcterms:created>
  <dcterms:modified xsi:type="dcterms:W3CDTF">2012-06-28T18:10:00Z</dcterms:modified>
</cp:coreProperties>
</file>